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Ngychom FX — Training Manual</w:t>
      </w:r>
    </w:p>
    <w:p>
      <w:pPr>
        <w:pStyle w:val="Heading1"/>
      </w:pPr>
      <w:r>
        <w:t xml:space="preserve">Session formats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Track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Audience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Time</w:t>
            </w:r>
          </w:p>
        </w:tc>
      </w:tr>
      <w:tr>
        <w:tc>
          <w:tcPr>
            <w:tcW w:w="0" w:type="auto"/>
          </w:tcPr>
          <w:p>
            <w:r>
              <w:t xml:space="preserve">Client / support</w:t>
            </w:r>
          </w:p>
        </w:tc>
        <w:tc>
          <w:tcPr>
            <w:tcW w:w="0" w:type="auto"/>
          </w:tcPr>
          <w:p>
            <w:r>
              <w:t xml:space="preserve">Customers, branch and support staff</w:t>
            </w:r>
          </w:p>
        </w:tc>
        <w:tc>
          <w:tcPr>
            <w:tcW w:w="0" w:type="auto"/>
          </w:tcPr>
          <w:p>
            <w:r>
              <w:t xml:space="preserve">40 min</w:t>
            </w:r>
          </w:p>
        </w:tc>
      </w:tr>
      <w:tr>
        <w:tc>
          <w:tcPr>
            <w:tcW w:w="0" w:type="auto"/>
          </w:tcPr>
          <w:p>
            <w:r>
              <w:t xml:space="preserve">Desk operations</w:t>
            </w:r>
          </w:p>
        </w:tc>
        <w:tc>
          <w:tcPr>
            <w:tcW w:w="0" w:type="auto"/>
          </w:tcPr>
          <w:p>
            <w:r>
              <w:t xml:space="preserve">Verification and payout staff</w:t>
            </w:r>
          </w:p>
        </w:tc>
        <w:tc>
          <w:tcPr>
            <w:tcW w:w="0" w:type="auto"/>
          </w:tcPr>
          <w:p>
            <w:r>
              <w:t xml:space="preserve">90 min</w:t>
            </w:r>
          </w:p>
        </w:tc>
      </w:tr>
      <w:tr>
        <w:tc>
          <w:tcPr>
            <w:tcW w:w="0" w:type="auto"/>
          </w:tcPr>
          <w:p>
            <w:r>
              <w:t xml:space="preserve">Control &amp; compliance</w:t>
            </w:r>
          </w:p>
        </w:tc>
        <w:tc>
          <w:tcPr>
            <w:tcW w:w="0" w:type="auto"/>
          </w:tcPr>
          <w:p>
            <w:r>
              <w:t xml:space="preserve">Compliance officer, finance lead, owner</w:t>
            </w:r>
          </w:p>
        </w:tc>
        <w:tc>
          <w:tcPr>
            <w:tcW w:w="0" w:type="auto"/>
          </w:tcPr>
          <w:p>
            <w:r>
              <w:t xml:space="preserve">60 min</w:t>
            </w:r>
          </w:p>
        </w:tc>
      </w:tr>
    </w:tbl>
    <w:p/>
    <w:p>
      <w:pPr>
        <w:pStyle w:val="Heading1"/>
      </w:pPr>
      <w:r>
        <w:t xml:space="preserve">Track 1 — Client / support (40 min)</w:t>
      </w:r>
    </w:p>
    <w:p>
      <w:pPr>
        <w:pStyle w:val="Heading2"/>
      </w:pPr>
      <w:r>
        <w:t xml:space="preserve">1.1 Quote → pay in → track</w:t>
      </w:r>
    </w:p>
    <w:p>
      <w:pPr>
        <w:pStyle w:val="Normal"/>
      </w:pPr>
      <w:r>
        <w:t xml:space="preserve">Goal: complete one exchange end to end as a client.</w:t>
      </w:r>
    </w:p>
    <w:p>
      <w:pPr>
        <w:pStyle w:val="Normal"/>
      </w:pPr>
      <w:r>
        <w:t xml:space="preserve">☐ Client can explain the reference, the fee and the payout amount without help.</w:t>
      </w:r>
    </w:p>
    <w:p>
      <w:pPr>
        <w:pStyle w:val="Heading2"/>
      </w:pPr>
      <w:r>
        <w:t xml:space="preserve">1.2 Handle the three common questions</w:t>
      </w:r>
    </w:p>
    <w:p>
      <w:pPr>
        <w:pStyle w:val="Normal"/>
      </w:pPr>
      <w:r>
        <w:t xml:space="preserve">Goal: answer confidently without escalating.</w:t>
      </w:r>
    </w:p>
    <w:p>
      <w:pPr>
        <w:pStyle w:val="Normal"/>
      </w:pPr>
      <w:r>
        <w:t xml:space="preserve">☐ Trainee answered all three from the application, not from memory.</w:t>
      </w:r>
    </w:p>
    <w:p>
      <w:pPr>
        <w:pStyle w:val="Heading1"/>
      </w:pPr>
      <w:r>
        <w:t xml:space="preserve">Track 2 — Desk operations (90 min)</w:t>
      </w:r>
    </w:p>
    <w:p>
      <w:pPr>
        <w:pStyle w:val="Heading2"/>
      </w:pPr>
      <w:r>
        <w:t xml:space="preserve">2.1 Verify deposits correctly</w:t>
      </w:r>
    </w:p>
    <w:p>
      <w:pPr>
        <w:pStyle w:val="Normal"/>
      </w:pPr>
      <w:r>
        <w:t xml:space="preserve">Goal: never verify on a hunch.</w:t>
      </w:r>
    </w:p>
    <w:p>
      <w:pPr>
        <w:pStyle w:val="Normal"/>
      </w:pPr>
      <w:r>
        <w:t xml:space="preserve">☐ One verified, one rejected with a reason — both on the timeline and in the audit trail.</w:t>
      </w:r>
    </w:p>
    <w:p>
      <w:pPr>
        <w:pStyle w:val="Heading2"/>
      </w:pPr>
      <w:r>
        <w:t xml:space="preserve">2.2 Release payouts and protect the float</w:t>
      </w:r>
    </w:p>
    <w:p>
      <w:pPr>
        <w:pStyle w:val="Normal"/>
      </w:pPr>
      <w:r>
        <w:t xml:space="preserve">Goal: complete payouts without ever running a corridor dry.</w:t>
      </w:r>
    </w:p>
    <w:p>
      <w:pPr>
        <w:pStyle w:val="Normal"/>
      </w:pPr>
      <w:r>
        <w:t xml:space="preserve">☐ Payout released, alert triggered, float restored.</w:t>
      </w:r>
    </w:p>
    <w:p>
      <w:pPr>
        <w:pStyle w:val="Heading2"/>
      </w:pPr>
      <w:r>
        <w:t xml:space="preserve">2.3 Pricing and margin</w:t>
      </w:r>
    </w:p>
    <w:p>
      <w:pPr>
        <w:pStyle w:val="Normal"/>
      </w:pPr>
      <w:r>
        <w:t xml:space="preserve">Goal: understand what the bureau earns on an exchange.</w:t>
      </w:r>
    </w:p>
    <w:p>
      <w:pPr>
        <w:pStyle w:val="Normal"/>
      </w:pPr>
      <w:r>
        <w:t xml:space="preserve">☐ Trainee computed the margin and demonstrated override set/clear with audit entries.</w:t>
      </w:r>
    </w:p>
    <w:p>
      <w:pPr>
        <w:pStyle w:val="Heading1"/>
      </w:pPr>
      <w:r>
        <w:t xml:space="preserve">Track 3 — Control &amp; compliance (60 min)</w:t>
      </w:r>
    </w:p>
    <w:p>
      <w:pPr>
        <w:pStyle w:val="Heading2"/>
      </w:pPr>
      <w:r>
        <w:t xml:space="preserve">3.1 KYC limits and AML holds</w:t>
      </w:r>
    </w:p>
    <w:p>
      <w:pPr>
        <w:pStyle w:val="Normal"/>
      </w:pPr>
      <w:r>
        <w:t xml:space="preserve">Goal: apply controls without harming service.</w:t>
      </w:r>
    </w:p>
    <w:p>
      <w:pPr>
        <w:pStyle w:val="Normal"/>
      </w:pPr>
      <w:r>
        <w:t xml:space="preserve">☐ KYC decision and both AML decisions recorded with reasons.</w:t>
      </w:r>
    </w:p>
    <w:p>
      <w:pPr>
        <w:pStyle w:val="Heading2"/>
      </w:pPr>
      <w:r>
        <w:t xml:space="preserve">3.2 Reconcile the day</w:t>
      </w:r>
    </w:p>
    <w:p>
      <w:pPr>
        <w:pStyle w:val="Normal"/>
      </w:pPr>
      <w:r>
        <w:t xml:space="preserve">Goal: prove every exchange balances.</w:t>
      </w:r>
    </w:p>
    <w:p>
      <w:pPr>
        <w:pStyle w:val="Normal"/>
      </w:pPr>
      <w:r>
        <w:t xml:space="preserve">☐ A full reconciliation with each exception classified and actioned.</w:t>
      </w:r>
    </w:p>
    <w:p>
      <w:pPr>
        <w:pStyle w:val="Heading2"/>
      </w:pPr>
      <w:r>
        <w:t xml:space="preserve">3.3 Settings, export and audit</w:t>
      </w:r>
    </w:p>
    <w:p>
      <w:pPr>
        <w:pStyle w:val="Normal"/>
      </w:pPr>
      <w:r>
        <w:t xml:space="preserve">Goal: control the workspace and survive an audit request.</w:t>
      </w:r>
    </w:p>
    <w:p>
      <w:pPr>
        <w:pStyle w:val="Normal"/>
      </w:pPr>
      <w:r>
        <w:t xml:space="preserve">☐ Audit export produced; trainee can explain every field of an exchange record.</w:t>
      </w:r>
    </w:p>
    <w:p>
      <w:pPr>
        <w:pStyle w:val="Heading1"/>
      </w:pPr>
      <w:r>
        <w:t xml:space="preserve">Assessment scenarios</w:t>
      </w:r>
    </w:p>
    <w:tbl>
      <w:tblPr>
        <w:tblStyle w:val="TableGrid"/>
        <w:tblW w:w="0" w:type="auto"/>
        <w:tblBorders>
          <w:top w:val="single" w:sz="6" w:space="0" w:color="C9C9D1"/>
          <w:left w:val="single" w:sz="6" w:space="0" w:color="C9C9D1"/>
          <w:bottom w:val="single" w:sz="6" w:space="0" w:color="C9C9D1"/>
          <w:right w:val="single" w:sz="6" w:space="0" w:color="C9C9D1"/>
          <w:insideH w:val="single" w:sz="6" w:space="0" w:color="C9C9D1"/>
          <w:insideV w:val="single" w:sz="6" w:space="0" w:color="C9C9D1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Scenario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Expected answer</w:t>
            </w:r>
          </w:p>
        </w:tc>
      </w:tr>
      <w:tr>
        <w:tc>
          <w:tcPr>
            <w:tcW w:w="0" w:type="auto"/>
          </w:tcPr>
          <w:p>
            <w:r>
              <w:t xml:space="preserve">Client deposits without the reference.</w:t>
            </w:r>
          </w:p>
        </w:tc>
        <w:tc>
          <w:tcPr>
            <w:tcW w:w="0" w:type="auto"/>
          </w:tcPr>
          <w:p>
            <w:r>
              <w:t xml:space="preserve">Never verify blind: find the credit on the statement, confirm the source with the client, then verify or reject with a reason.</w:t>
            </w:r>
          </w:p>
        </w:tc>
      </w:tr>
      <w:tr>
        <w:tc>
          <w:tcPr>
            <w:tcW w:w="0" w:type="auto"/>
          </w:tcPr>
          <w:p>
            <w:r>
              <w:t xml:space="preserve">The rate moves 2% against the bureau between quote and pay-in.</w:t>
            </w:r>
          </w:p>
        </w:tc>
        <w:tc>
          <w:tcPr>
            <w:tcW w:w="0" w:type="auto"/>
          </w:tcPr>
          <w:p>
            <w:r>
              <w:t xml:space="preserve">Honour a valid quote; if it expired, refresh and explain the new rate from the exchange record.</w:t>
            </w:r>
          </w:p>
        </w:tc>
      </w:tr>
      <w:tr>
        <w:tc>
          <w:tcPr>
            <w:tcW w:w="0" w:type="auto"/>
          </w:tcPr>
          <w:p>
            <w:r>
              <w:t xml:space="preserve">Float below minimum with three payouts queued.</w:t>
            </w:r>
          </w:p>
        </w:tc>
        <w:tc>
          <w:tcPr>
            <w:tcW w:w="0" w:type="auto"/>
          </w:tcPr>
          <w:p>
            <w:r>
              <w:t xml:space="preserve">Fund the corridor and update float first, then release in age order; keep clients informed.</w:t>
            </w:r>
          </w:p>
        </w:tc>
      </w:tr>
      <w:tr>
        <w:tc>
          <w:tcPr>
            <w:tcW w:w="0" w:type="auto"/>
          </w:tcPr>
          <w:p>
            <w:r>
              <w:t xml:space="preserve">Regulator asks who changed a rate last week.</w:t>
            </w:r>
          </w:p>
        </w:tc>
        <w:tc>
          <w:tcPr>
            <w:tcW w:w="0" w:type="auto"/>
          </w:tcPr>
          <w:p>
            <w:r>
              <w:t xml:space="preserve">Audit trail → filter rates.base_saved / rates.override_set, export CSV — actor, time and values are logged.</w:t>
            </w:r>
          </w:p>
        </w:tc>
      </w:tr>
      <w:tr>
        <w:tc>
          <w:tcPr>
            <w:tcW w:w="0" w:type="auto"/>
          </w:tcPr>
          <w:p>
            <w:r>
              <w:t xml:space="preserve">Suspected structuring (repeated just-under-threshold exchanges).</w:t>
            </w:r>
          </w:p>
        </w:tc>
        <w:tc>
          <w:tcPr>
            <w:tcW w:w="0" w:type="auto"/>
          </w:tcPr>
          <w:p>
            <w:r>
              <w:t xml:space="preserve">Flag for AML review, request source of funds, block if unresolved, and document — patterns are visible in reports by client.</w:t>
            </w:r>
          </w:p>
        </w:tc>
      </w:tr>
    </w:tbl>
    <w:p/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szCs w:val="21"/>
      </w:rPr>
    </w:rPrDefault>
  </w:docDefaults>
  <w:style w:type="paragraph" w:default="1" w:styleId="Normal">
    <w:name w:val="Normal"/>
    <w:pPr>
      <w:spacing w:after="140" w:line="276" w:lineRule="auto"/>
    </w:pPr>
  </w:style>
  <w:style w:type="paragraph" w:styleId="Title">
    <w:name w:val="Title"/>
    <w:basedOn w:val="Normal"/>
    <w:pPr>
      <w:spacing w:before="240" w:after="240"/>
    </w:pPr>
    <w:rPr>
      <w:b/>
      <w:color w:val="792E5B"/>
      <w:sz w:val="44"/>
    </w:rPr>
  </w:style>
  <w:style w:type="paragraph" w:styleId="Heading1">
    <w:name w:val="heading 1"/>
    <w:basedOn w:val="Normal"/>
    <w:pPr>
      <w:keepNext/>
      <w:spacing w:before="360" w:after="120"/>
      <w:outlineLvl w:val="0"/>
    </w:pPr>
    <w:rPr>
      <w:b/>
      <w:color w:val="8A2F57"/>
      <w:sz w:val="32"/>
    </w:rPr>
  </w:style>
  <w:style w:type="paragraph" w:styleId="Heading2">
    <w:name w:val="heading 2"/>
    <w:basedOn w:val="Normal"/>
    <w:pPr>
      <w:keepNext/>
      <w:spacing w:before="280" w:after="100"/>
      <w:outlineLvl w:val="1"/>
    </w:pPr>
    <w:rPr>
      <w:b/>
      <w:color w:val="A63A68"/>
      <w:sz w:val="26"/>
    </w:rPr>
  </w:style>
  <w:style w:type="paragraph" w:styleId="ListParagraph">
    <w:name w:val="List Paragraph"/>
    <w:basedOn w:val="Normal"/>
    <w:pPr>
      <w:ind w:left="420" w:hanging="240"/>
      <w:spacing w:after="60"/>
    </w:pPr>
  </w:style>
  <w:style w:type="paragraph" w:styleId="Quote">
    <w:name w:val="Quote"/>
    <w:basedOn w:val="Normal"/>
    <w:pPr>
      <w:ind w:left="480"/>
    </w:pPr>
    <w:rPr>
      <w:i/>
      <w:color w:val="555555"/>
    </w:rPr>
  </w:style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Ngychom FX — Training Manual</dc:title>
  <dc:creator>Generated from the app's HTML manual</dc:creator>
</cp:coreProperties>
</file>