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Ngychom FX — User Manual</w:t>
      </w:r>
    </w:p>
    <w:p>
      <w:pPr>
        <w:pStyle w:val="ListParagraph"/>
      </w:pPr>
      <w:r>
        <w:t xml:space="preserve">1. What the bureau does</w:t>
      </w:r>
    </w:p>
    <w:p>
      <w:pPr>
        <w:pStyle w:val="ListParagraph"/>
      </w:pPr>
      <w:r>
        <w:t xml:space="preserve">2. Roles and access</w:t>
      </w:r>
    </w:p>
    <w:p>
      <w:pPr>
        <w:pStyle w:val="ListParagraph"/>
      </w:pPr>
      <w:r>
        <w:t xml:space="preserve">3. Client guide — quote, pay in, track the payout</w:t>
      </w:r>
    </w:p>
    <w:p>
      <w:pPr>
        <w:pStyle w:val="ListParagraph"/>
      </w:pPr>
      <w:r>
        <w:t xml:space="preserve">4. Operations desk — verify, release, block</w:t>
      </w:r>
    </w:p>
    <w:p>
      <w:pPr>
        <w:pStyle w:val="ListParagraph"/>
      </w:pPr>
      <w:r>
        <w:t xml:space="preserve">5. Rates, margin and float</w:t>
      </w:r>
    </w:p>
    <w:p>
      <w:pPr>
        <w:pStyle w:val="ListParagraph"/>
      </w:pPr>
      <w:r>
        <w:t xml:space="preserve">6. Compliance — KYC, limits, AML holds</w:t>
      </w:r>
    </w:p>
    <w:p>
      <w:pPr>
        <w:pStyle w:val="ListParagraph"/>
      </w:pPr>
      <w:r>
        <w:t xml:space="preserve">7. Statements and receipts</w:t>
      </w:r>
    </w:p>
    <w:p>
      <w:pPr>
        <w:pStyle w:val="ListParagraph"/>
      </w:pPr>
      <w:r>
        <w:t xml:space="preserve">8. Administration — users, settings, audit, data export</w:t>
      </w:r>
    </w:p>
    <w:p>
      <w:pPr>
        <w:pStyle w:val="ListParagraph"/>
      </w:pPr>
      <w:r>
        <w:t xml:space="preserve">9. Troubleshooting</w:t>
      </w:r>
    </w:p>
    <w:p>
      <w:pPr>
        <w:pStyle w:val="ListParagraph"/>
      </w:pPr>
      <w:r>
        <w:t xml:space="preserve">10. Glossary</w:t>
      </w:r>
    </w:p>
    <w:p>
      <w:pPr>
        <w:pStyle w:val="Heading1"/>
      </w:pPr>
      <w:r>
        <w:t xml:space="preserve">1. What the bureau does</w:t>
      </w:r>
    </w:p>
    <w:p>
      <w:pPr>
        <w:pStyle w:val="Normal"/>
      </w:pPr>
      <w:r>
        <w:t xml:space="preserve">Ngychom FX is a deposit-based diaspora exchange: the client deposits into the bureau's account in one country, and the bureau pays the equivalent to the recipient in another. The platform runs the whole exchange: firm quotes, recipient management, deposit verification, payout release, rate and margin control, float management, compliance review and reporting.</w:t>
      </w:r>
    </w:p>
    <w:tbl>
      <w:tblPr>
        <w:tblStyle w:val="TableGrid"/>
        <w:tblW w:w="0" w:type="auto"/>
        <w:tblBorders>
          <w:top w:val="single" w:sz="6" w:space="0" w:color="C9C9D1"/>
          <w:left w:val="single" w:sz="6" w:space="0" w:color="C9C9D1"/>
          <w:bottom w:val="single" w:sz="6" w:space="0" w:color="C9C9D1"/>
          <w:right w:val="single" w:sz="6" w:space="0" w:color="C9C9D1"/>
          <w:insideH w:val="single" w:sz="6" w:space="0" w:color="C9C9D1"/>
          <w:insideV w:val="single" w:sz="6" w:space="0" w:color="C9C9D1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Stage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What happens</w:t>
            </w:r>
          </w:p>
        </w:tc>
      </w:tr>
      <w:tr>
        <w:tc>
          <w:tcPr>
            <w:tcW w:w="0" w:type="auto"/>
          </w:tcPr>
          <w:p>
            <w:r>
              <w:t xml:space="preserve">1. Quote</w:t>
            </w:r>
          </w:p>
        </w:tc>
        <w:tc>
          <w:tcPr>
            <w:tcW w:w="0" w:type="auto"/>
          </w:tcPr>
          <w:p>
            <w:r>
              <w:t xml:space="preserve">Client picks a corridor and amount; the system returns the rate, our fee, and the exact amount the recipient receives. The quote is valid for a limited window.</w:t>
            </w:r>
          </w:p>
        </w:tc>
      </w:tr>
      <w:tr>
        <w:tc>
          <w:tcPr>
            <w:tcW w:w="0" w:type="auto"/>
          </w:tcPr>
          <w:p>
            <w:r>
              <w:t xml:space="preserve">2. Pay in</w:t>
            </w:r>
          </w:p>
        </w:tc>
        <w:tc>
          <w:tcPr>
            <w:tcW w:w="0" w:type="auto"/>
          </w:tcPr>
          <w:p>
            <w:r>
              <w:t xml:space="preserve">The client is shown the receiving account and a unique reference, then deposits locally.</w:t>
            </w:r>
          </w:p>
        </w:tc>
      </w:tr>
      <w:tr>
        <w:tc>
          <w:tcPr>
            <w:tcW w:w="0" w:type="auto"/>
          </w:tcPr>
          <w:p>
            <w:r>
              <w:t xml:space="preserve">3. Verify</w:t>
            </w:r>
          </w:p>
        </w:tc>
        <w:tc>
          <w:tcPr>
            <w:tcW w:w="0" w:type="auto"/>
          </w:tcPr>
          <w:p>
            <w:r>
              <w:t xml:space="preserve">The desk matches the incoming credit to the reference and verifies the deposit.</w:t>
            </w:r>
          </w:p>
        </w:tc>
      </w:tr>
      <w:tr>
        <w:tc>
          <w:tcPr>
            <w:tcW w:w="0" w:type="auto"/>
          </w:tcPr>
          <w:p>
            <w:r>
              <w:t xml:space="preserve">4. Payout</w:t>
            </w:r>
          </w:p>
        </w:tc>
        <w:tc>
          <w:tcPr>
            <w:tcW w:w="0" w:type="auto"/>
          </w:tcPr>
          <w:p>
            <w:r>
              <w:t xml:space="preserve">The desk pays the recipient from the corridor's float and records the payout reference.</w:t>
            </w:r>
          </w:p>
        </w:tc>
      </w:tr>
      <w:tr>
        <w:tc>
          <w:tcPr>
            <w:tcW w:w="0" w:type="auto"/>
          </w:tcPr>
          <w:p>
            <w:r>
              <w:t xml:space="preserve">5. Complete</w:t>
            </w:r>
          </w:p>
        </w:tc>
        <w:tc>
          <w:tcPr>
            <w:tcW w:w="0" w:type="auto"/>
          </w:tcPr>
          <w:p>
            <w:r>
              <w:t xml:space="preserve">The exchange closes; both sides can download the receipt and statement.</w:t>
            </w:r>
          </w:p>
        </w:tc>
      </w:tr>
    </w:tbl>
    <w:p/>
    <w:p>
      <w:pPr>
        <w:pStyle w:val="Heading1"/>
      </w:pPr>
      <w:r>
        <w:t xml:space="preserve">2. Roles and access</w:t>
      </w:r>
    </w:p>
    <w:tbl>
      <w:tblPr>
        <w:tblStyle w:val="TableGrid"/>
        <w:tblW w:w="0" w:type="auto"/>
        <w:tblBorders>
          <w:top w:val="single" w:sz="6" w:space="0" w:color="C9C9D1"/>
          <w:left w:val="single" w:sz="6" w:space="0" w:color="C9C9D1"/>
          <w:bottom w:val="single" w:sz="6" w:space="0" w:color="C9C9D1"/>
          <w:right w:val="single" w:sz="6" w:space="0" w:color="C9C9D1"/>
          <w:insideH w:val="single" w:sz="6" w:space="0" w:color="C9C9D1"/>
          <w:insideV w:val="single" w:sz="6" w:space="0" w:color="C9C9D1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Role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Lands on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Can do</w:t>
            </w:r>
          </w:p>
        </w:tc>
      </w:tr>
      <w:tr>
        <w:tc>
          <w:tcPr>
            <w:tcW w:w="0" w:type="auto"/>
          </w:tcPr>
          <w:p>
            <w:r>
              <w:t xml:space="preserve">client</w:t>
            </w:r>
          </w:p>
        </w:tc>
        <w:tc>
          <w:tcPr>
            <w:tcW w:w="0" w:type="auto"/>
          </w:tcPr>
          <w:p>
            <w:r>
              <w:t xml:space="preserve">Dashboard</w:t>
            </w:r>
          </w:p>
        </w:tc>
        <w:tc>
          <w:tcPr>
            <w:tcW w:w="0" w:type="auto"/>
          </w:tcPr>
          <w:p>
            <w:r>
              <w:t xml:space="preserve">Own exchanges and recipients: quote, add beneficiaries, pay in, track status, download receipts.</w:t>
            </w:r>
          </w:p>
        </w:tc>
      </w:tr>
      <w:tr>
        <w:tc>
          <w:tcPr>
            <w:tcW w:w="0" w:type="auto"/>
          </w:tcPr>
          <w:p>
            <w:r>
              <w:t xml:space="preserve">admin</w:t>
            </w:r>
          </w:p>
        </w:tc>
        <w:tc>
          <w:tcPr>
            <w:tcW w:w="0" w:type="auto"/>
          </w:tcPr>
          <w:p>
            <w:r>
              <w:t xml:space="preserve">Desk dashboard</w:t>
            </w:r>
          </w:p>
        </w:tc>
        <w:tc>
          <w:tcPr>
            <w:tcW w:w="0" w:type="auto"/>
          </w:tcPr>
          <w:p>
            <w:r>
              <w:t xml:space="preserve">Verify deposits, reject or hold them, release or block payouts, manage rates, margin and float, view reports, review KYC and clear/block AML flags.</w:t>
            </w:r>
          </w:p>
        </w:tc>
      </w:tr>
      <w:tr>
        <w:tc>
          <w:tcPr>
            <w:tcW w:w="0" w:type="auto"/>
          </w:tcPr>
          <w:p>
            <w:r>
              <w:t xml:space="preserve">superadmin</w:t>
            </w:r>
          </w:p>
        </w:tc>
        <w:tc>
          <w:tcPr>
            <w:tcW w:w="0" w:type="auto"/>
          </w:tcPr>
          <w:p>
            <w:r>
              <w:t xml:space="preserve">Desk dashboard</w:t>
            </w:r>
          </w:p>
        </w:tc>
        <w:tc>
          <w:tcPr>
            <w:tcW w:w="0" w:type="auto"/>
          </w:tcPr>
          <w:p>
            <w:r>
              <w:t xml:space="preserve">Universal access (workspace convention).</w:t>
            </w:r>
          </w:p>
        </w:tc>
      </w:tr>
    </w:tbl>
    <w:p/>
    <w:p>
      <w:pPr>
        <w:pStyle w:val="Heading1"/>
      </w:pPr>
      <w:r>
        <w:t xml:space="preserve">3. Client guide</w:t>
      </w:r>
    </w:p>
    <w:p>
      <w:pPr>
        <w:pStyle w:val="Heading2"/>
      </w:pPr>
      <w:r>
        <w:t xml:space="preserve">3.1 Create a quote</w:t>
      </w:r>
    </w:p>
    <w:p>
      <w:pPr>
        <w:pStyle w:val="Heading2"/>
      </w:pPr>
      <w:r>
        <w:t xml:space="preserve">3.2 Add the recipient</w:t>
      </w:r>
    </w:p>
    <w:p>
      <w:pPr>
        <w:pStyle w:val="Normal"/>
      </w:pPr>
      <w:r>
        <w:t xml:space="preserve">Recipients are saved to your account and reused on future exchanges: name, bank, account number (NUBAN for naira payouts) and relationship. Ask the desk before paying out to a newly added account for the first time.</w:t>
      </w:r>
    </w:p>
    <w:p>
      <w:pPr>
        <w:pStyle w:val="Heading2"/>
      </w:pPr>
      <w:r>
        <w:t xml:space="preserve">3.3 Pay in and track</w:t>
      </w:r>
    </w:p>
    <w:p>
      <w:pPr>
        <w:pStyle w:val="Heading1"/>
      </w:pPr>
      <w:r>
        <w:t xml:space="preserve">4. Operations desk</w:t>
      </w:r>
    </w:p>
    <w:p>
      <w:pPr>
        <w:pStyle w:val="Heading2"/>
      </w:pPr>
      <w:r>
        <w:t xml:space="preserve">4.1 Verify a deposit</w:t>
      </w:r>
    </w:p>
    <w:p>
      <w:pPr>
        <w:pStyle w:val="Heading2"/>
      </w:pPr>
      <w:r>
        <w:t xml:space="preserve">4.2 Release a payout</w:t>
      </w:r>
    </w:p>
    <w:p>
      <w:pPr>
        <w:pStyle w:val="Normal"/>
      </w:pPr>
      <w:r>
        <w:t xml:space="preserve">Block a payout only with a documented reason — the block, actor, timestamp and reason are audited and visible on the exchange timeline.</w:t>
      </w:r>
    </w:p>
    <w:p>
      <w:pPr>
        <w:pStyle w:val="Heading1"/>
      </w:pPr>
      <w:r>
        <w:t xml:space="preserve">5. Rates, margin and float</w:t>
      </w:r>
    </w:p>
    <w:tbl>
      <w:tblPr>
        <w:tblStyle w:val="TableGrid"/>
        <w:tblW w:w="0" w:type="auto"/>
        <w:tblBorders>
          <w:top w:val="single" w:sz="6" w:space="0" w:color="C9C9D1"/>
          <w:left w:val="single" w:sz="6" w:space="0" w:color="C9C9D1"/>
          <w:bottom w:val="single" w:sz="6" w:space="0" w:color="C9C9D1"/>
          <w:right w:val="single" w:sz="6" w:space="0" w:color="C9C9D1"/>
          <w:insideH w:val="single" w:sz="6" w:space="0" w:color="C9C9D1"/>
          <w:insideV w:val="single" w:sz="6" w:space="0" w:color="C9C9D1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Control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Effect</w:t>
            </w:r>
          </w:p>
        </w:tc>
      </w:tr>
      <w:tr>
        <w:tc>
          <w:tcPr>
            <w:tcW w:w="0" w:type="auto"/>
          </w:tcPr>
          <w:p>
            <w:r>
              <w:t xml:space="preserve">Base rate</w:t>
            </w:r>
          </w:p>
        </w:tc>
        <w:tc>
          <w:tcPr>
            <w:tcW w:w="0" w:type="auto"/>
          </w:tcPr>
          <w:p>
            <w:r>
              <w:t xml:space="preserve">The reference market rate for the corridor (simulated feed in this build; refresh to simulate a market move).</w:t>
            </w:r>
          </w:p>
        </w:tc>
      </w:tr>
      <w:tr>
        <w:tc>
          <w:tcPr>
            <w:tcW w:w="0" w:type="auto"/>
          </w:tcPr>
          <w:p>
            <w:r>
              <w:t xml:space="preserve">Margin %</w:t>
            </w:r>
          </w:p>
        </w:tc>
        <w:tc>
          <w:tcPr>
            <w:tcW w:w="0" w:type="auto"/>
          </w:tcPr>
          <w:p>
            <w:r>
              <w:t xml:space="preserve">Your spread on the base rate — this is the bureau's gross margin per exchange.</w:t>
            </w:r>
          </w:p>
        </w:tc>
      </w:tr>
      <w:tr>
        <w:tc>
          <w:tcPr>
            <w:tcW w:w="0" w:type="auto"/>
          </w:tcPr>
          <w:p>
            <w:r>
              <w:t xml:space="preserve">Flat fees</w:t>
            </w:r>
          </w:p>
        </w:tc>
        <w:tc>
          <w:tcPr>
            <w:tcW w:w="0" w:type="auto"/>
          </w:tcPr>
          <w:p>
            <w:r>
              <w:t xml:space="preserve">Fixed charge per exchange in deposit or payout currency.</w:t>
            </w:r>
          </w:p>
        </w:tc>
      </w:tr>
      <w:tr>
        <w:tc>
          <w:tcPr>
            <w:tcW w:w="0" w:type="auto"/>
          </w:tcPr>
          <w:p>
            <w:r>
              <w:t xml:space="preserve">Manual override</w:t>
            </w:r>
          </w:p>
        </w:tc>
        <w:tc>
          <w:tcPr>
            <w:tcW w:w="0" w:type="auto"/>
          </w:tcPr>
          <w:p>
            <w:r>
              <w:t xml:space="preserve">A corridor rate set by hand for a period, with a note and an audit entry. Clear it to return to the base rate plus margin.</w:t>
            </w:r>
          </w:p>
        </w:tc>
      </w:tr>
      <w:tr>
        <w:tc>
          <w:tcPr>
            <w:tcW w:w="0" w:type="auto"/>
          </w:tcPr>
          <w:p>
            <w:r>
              <w:t xml:space="preserve">Float</w:t>
            </w:r>
          </w:p>
        </w:tc>
        <w:tc>
          <w:tcPr>
            <w:tcW w:w="0" w:type="auto"/>
          </w:tcPr>
          <w:p>
            <w:r>
              <w:t xml:space="preserve">Prefunded balance per currency, with a minimum threshold that raises a low-float alert.</w:t>
            </w:r>
          </w:p>
        </w:tc>
      </w:tr>
    </w:tbl>
    <w:p/>
    <w:p>
      <w:pPr>
        <w:pStyle w:val="Heading1"/>
      </w:pPr>
      <w:r>
        <w:t xml:space="preserve">6. Compliance</w:t>
      </w:r>
    </w:p>
    <w:p>
      <w:pPr>
        <w:pStyle w:val="Heading2"/>
      </w:pPr>
      <w:r>
        <w:t xml:space="preserve">6.1 KYC and limits</w:t>
      </w:r>
    </w:p>
    <w:p>
      <w:pPr>
        <w:pStyle w:val="Normal"/>
      </w:pPr>
      <w:r>
        <w:t xml:space="preserve">Clients must be identity-verified before larger exchanges. Unverified clients have per-transaction and monthly limits. Verification status is set by the desk and recorded in the audit trail.</w:t>
      </w:r>
    </w:p>
    <w:p>
      <w:pPr>
        <w:pStyle w:val="Heading2"/>
      </w:pPr>
      <w:r>
        <w:t xml:space="preserve">6.2 AML holds</w:t>
      </w:r>
    </w:p>
    <w:p>
      <w:pPr>
        <w:pStyle w:val="Normal"/>
      </w:pPr>
      <w:r>
        <w:t xml:space="preserve">Both decisions are attributed and permanent in the audit trail.</w:t>
      </w:r>
    </w:p>
    <w:p>
      <w:pPr>
        <w:pStyle w:val="Heading1"/>
      </w:pPr>
      <w:r>
        <w:t xml:space="preserve">7. Statements and receipts</w:t>
      </w:r>
    </w:p>
    <w:p>
      <w:pPr>
        <w:pStyle w:val="Normal"/>
      </w:pPr>
      <w:r>
        <w:t xml:space="preserve">Every exchange produces a receipt with the quote, the rate applied, fees, amounts on both sides, the payout reference and timestamps. Clients can export a statement of all exchanges as CSV for tax or immigration purposes; exports are logged.</w:t>
      </w:r>
    </w:p>
    <w:p>
      <w:pPr>
        <w:pStyle w:val="Heading1"/>
      </w:pPr>
      <w:r>
        <w:t xml:space="preserve">8. Administration</w:t>
      </w:r>
    </w:p>
    <w:p>
      <w:pPr>
        <w:pStyle w:val="Heading2"/>
      </w:pPr>
      <w:r>
        <w:t xml:space="preserve">8.1 Users and KYC</w:t>
      </w:r>
    </w:p>
    <w:p>
      <w:pPr>
        <w:pStyle w:val="Normal"/>
      </w:pPr>
      <w:r>
        <w:t xml:space="preserve">Review client records, adjust verification status and control who has desk access. Clients only ever see their own exchanges and recipients.</w:t>
      </w:r>
    </w:p>
    <w:p>
      <w:pPr>
        <w:pStyle w:val="Heading2"/>
      </w:pPr>
      <w:r>
        <w:t xml:space="preserve">8.2 Settings and data export</w:t>
      </w:r>
    </w:p>
    <w:p>
      <w:pPr>
        <w:pStyle w:val="Normal"/>
      </w:pPr>
      <w:r>
        <w:t xml:space="preserve">Settings holds the display name and the simulated-money banner. The data backup exports clients, recipients, exchanges, rate overrides, float, consents and the audit trail as one JSON file, with credentials excluded.</w:t>
      </w:r>
    </w:p>
    <w:p>
      <w:pPr>
        <w:pStyle w:val="Heading2"/>
      </w:pPr>
      <w:r>
        <w:t xml:space="preserve">8.3 Audit trail</w:t>
      </w:r>
    </w:p>
    <w:p>
      <w:pPr>
        <w:pStyle w:val="Normal"/>
      </w:pPr>
      <w:r>
        <w:t xml:space="preserve">Deposit verifications, rejections, payout releases, blocks, AML decisions, rate changes, overrides and float updates are all recorded with actor, role, entity, details and IP, filterable and exportable as CSV.</w:t>
      </w:r>
    </w:p>
    <w:p>
      <w:pPr>
        <w:pStyle w:val="Heading1"/>
      </w:pPr>
      <w:r>
        <w:t xml:space="preserve">9. Troubleshooting</w:t>
      </w:r>
    </w:p>
    <w:tbl>
      <w:tblPr>
        <w:tblStyle w:val="TableGrid"/>
        <w:tblW w:w="0" w:type="auto"/>
        <w:tblBorders>
          <w:top w:val="single" w:sz="6" w:space="0" w:color="C9C9D1"/>
          <w:left w:val="single" w:sz="6" w:space="0" w:color="C9C9D1"/>
          <w:bottom w:val="single" w:sz="6" w:space="0" w:color="C9C9D1"/>
          <w:right w:val="single" w:sz="6" w:space="0" w:color="C9C9D1"/>
          <w:insideH w:val="single" w:sz="6" w:space="0" w:color="C9C9D1"/>
          <w:insideV w:val="single" w:sz="6" w:space="0" w:color="C9C9D1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Symptom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What to check</w:t>
            </w:r>
          </w:p>
        </w:tc>
      </w:tr>
      <w:tr>
        <w:tc>
          <w:tcPr>
            <w:tcW w:w="0" w:type="auto"/>
          </w:tcPr>
          <w:p>
            <w:r>
              <w:t xml:space="preserve">Deposit not recognised</w:t>
            </w:r>
          </w:p>
        </w:tc>
        <w:tc>
          <w:tcPr>
            <w:tcW w:w="0" w:type="auto"/>
          </w:tcPr>
          <w:p>
            <w:r>
              <w:t xml:space="preserve">The reference on the bank credit must match the exchange reference exactly. Check the statement, then mark verified or reject with a reason.</w:t>
            </w:r>
          </w:p>
        </w:tc>
      </w:tr>
      <w:tr>
        <w:tc>
          <w:tcPr>
            <w:tcW w:w="0" w:type="auto"/>
          </w:tcPr>
          <w:p>
            <w:r>
              <w:t xml:space="preserve">Quote expired before payment</w:t>
            </w:r>
          </w:p>
        </w:tc>
        <w:tc>
          <w:tcPr>
            <w:tcW w:w="0" w:type="auto"/>
          </w:tcPr>
          <w:p>
            <w:r>
              <w:t xml:space="preserve">Refresh the quote; the new rate applies. Rates move, so a stale quote is not honoured.</w:t>
            </w:r>
          </w:p>
        </w:tc>
      </w:tr>
      <w:tr>
        <w:tc>
          <w:tcPr>
            <w:tcW w:w="0" w:type="auto"/>
          </w:tcPr>
          <w:p>
            <w:r>
              <w:t xml:space="preserve">Payout on hold</w:t>
            </w:r>
          </w:p>
        </w:tc>
        <w:tc>
          <w:tcPr>
            <w:tcW w:w="0" w:type="auto"/>
          </w:tcPr>
          <w:p>
            <w:r>
              <w:t xml:space="preserve">Either an AML review (read the hold reason, request source of funds) or a float shortage in that corridor.</w:t>
            </w:r>
          </w:p>
        </w:tc>
      </w:tr>
      <w:tr>
        <w:tc>
          <w:tcPr>
            <w:tcW w:w="0" w:type="auto"/>
          </w:tcPr>
          <w:p>
            <w:r>
              <w:t xml:space="preserve">Client disputes the payout amount</w:t>
            </w:r>
          </w:p>
        </w:tc>
        <w:tc>
          <w:tcPr>
            <w:tcW w:w="0" w:type="auto"/>
          </w:tcPr>
          <w:p>
            <w:r>
              <w:t xml:space="preserve">Open the exchange: the quote, rate, fee and payout amount are stored for exactly this conversation.</w:t>
            </w:r>
          </w:p>
        </w:tc>
      </w:tr>
      <w:tr>
        <w:tc>
          <w:tcPr>
            <w:tcW w:w="0" w:type="auto"/>
          </w:tcPr>
          <w:p>
            <w:r>
              <w:t xml:space="preserve">Low-float alert</w:t>
            </w:r>
          </w:p>
        </w:tc>
        <w:tc>
          <w:tcPr>
            <w:tcW w:w="0" w:type="auto"/>
          </w:tcPr>
          <w:p>
            <w:r>
              <w:t xml:space="preserve">Fund the corridor account, then update the float balance so the queue reflects reality.</w:t>
            </w:r>
          </w:p>
        </w:tc>
      </w:tr>
      <w:tr>
        <w:tc>
          <w:tcPr>
            <w:tcW w:w="0" w:type="auto"/>
          </w:tcPr>
          <w:p>
            <w:r>
              <w:t xml:space="preserve">Need the day's numbers</w:t>
            </w:r>
          </w:p>
        </w:tc>
        <w:tc>
          <w:tcPr>
            <w:tcW w:w="0" w:type="auto"/>
          </w:tcPr>
          <w:p>
            <w:r>
              <w:t xml:space="preserve">Reports → export CSV; every export is audited.</w:t>
            </w:r>
          </w:p>
        </w:tc>
      </w:tr>
    </w:tbl>
    <w:p/>
    <w:p>
      <w:pPr>
        <w:pStyle w:val="Heading1"/>
      </w:pPr>
      <w:r>
        <w:t xml:space="preserve">10. Glossary</w:t>
      </w:r>
    </w:p>
    <w:tbl>
      <w:tblPr>
        <w:tblStyle w:val="TableGrid"/>
        <w:tblW w:w="0" w:type="auto"/>
        <w:tblBorders>
          <w:top w:val="single" w:sz="6" w:space="0" w:color="C9C9D1"/>
          <w:left w:val="single" w:sz="6" w:space="0" w:color="C9C9D1"/>
          <w:bottom w:val="single" w:sz="6" w:space="0" w:color="C9C9D1"/>
          <w:right w:val="single" w:sz="6" w:space="0" w:color="C9C9D1"/>
          <w:insideH w:val="single" w:sz="6" w:space="0" w:color="C9C9D1"/>
          <w:insideV w:val="single" w:sz="6" w:space="0" w:color="C9C9D1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Term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Meaning</w:t>
            </w:r>
          </w:p>
        </w:tc>
      </w:tr>
      <w:tr>
        <w:tc>
          <w:tcPr>
            <w:tcW w:w="0" w:type="auto"/>
          </w:tcPr>
          <w:p>
            <w:r>
              <w:t xml:space="preserve">Corridor</w:t>
            </w:r>
          </w:p>
        </w:tc>
        <w:tc>
          <w:tcPr>
            <w:tcW w:w="0" w:type="auto"/>
          </w:tcPr>
          <w:p>
            <w:r>
              <w:t xml:space="preserve">A currency pair you can send through (for example USD → NGN).</w:t>
            </w:r>
          </w:p>
        </w:tc>
      </w:tr>
      <w:tr>
        <w:tc>
          <w:tcPr>
            <w:tcW w:w="0" w:type="auto"/>
          </w:tcPr>
          <w:p>
            <w:r>
              <w:t xml:space="preserve">Quote</w:t>
            </w:r>
          </w:p>
        </w:tc>
        <w:tc>
          <w:tcPr>
            <w:tcW w:w="0" w:type="auto"/>
          </w:tcPr>
          <w:p>
            <w:r>
              <w:t xml:space="preserve">Locked rate, fee and payout amount for one exchange; time-limited.</w:t>
            </w:r>
          </w:p>
        </w:tc>
      </w:tr>
      <w:tr>
        <w:tc>
          <w:tcPr>
            <w:tcW w:w="0" w:type="auto"/>
          </w:tcPr>
          <w:p>
            <w:r>
              <w:t xml:space="preserve">Margin / spread</w:t>
            </w:r>
          </w:p>
        </w:tc>
        <w:tc>
          <w:tcPr>
            <w:tcW w:w="0" w:type="auto"/>
          </w:tcPr>
          <w:p>
            <w:r>
              <w:t xml:space="preserve">The bureau's earnings on the difference between market and offered rate.</w:t>
            </w:r>
          </w:p>
        </w:tc>
      </w:tr>
      <w:tr>
        <w:tc>
          <w:tcPr>
            <w:tcW w:w="0" w:type="auto"/>
          </w:tcPr>
          <w:p>
            <w:r>
              <w:t xml:space="preserve">Float</w:t>
            </w:r>
          </w:p>
        </w:tc>
        <w:tc>
          <w:tcPr>
            <w:tcW w:w="0" w:type="auto"/>
          </w:tcPr>
          <w:p>
            <w:r>
              <w:t xml:space="preserve">Prefunded payout balance per currency.</w:t>
            </w:r>
          </w:p>
        </w:tc>
      </w:tr>
      <w:tr>
        <w:tc>
          <w:tcPr>
            <w:tcW w:w="0" w:type="auto"/>
          </w:tcPr>
          <w:p>
            <w:r>
              <w:t xml:space="preserve">Deposit verification</w:t>
            </w:r>
          </w:p>
        </w:tc>
        <w:tc>
          <w:tcPr>
            <w:tcW w:w="0" w:type="auto"/>
          </w:tcPr>
          <w:p>
            <w:r>
              <w:t xml:space="preserve">Matching the incoming credit to the client's reference before payout.</w:t>
            </w:r>
          </w:p>
        </w:tc>
      </w:tr>
      <w:tr>
        <w:tc>
          <w:tcPr>
            <w:tcW w:w="0" w:type="auto"/>
          </w:tcPr>
          <w:p>
            <w:r>
              <w:t xml:space="preserve">AML hold</w:t>
            </w:r>
          </w:p>
        </w:tc>
        <w:tc>
          <w:tcPr>
            <w:tcW w:w="0" w:type="auto"/>
          </w:tcPr>
          <w:p>
            <w:r>
              <w:t xml:space="preserve">A compliance pause for source-of-funds or screening review.</w:t>
            </w:r>
          </w:p>
        </w:tc>
      </w:tr>
      <w:tr>
        <w:tc>
          <w:tcPr>
            <w:tcW w:w="0" w:type="auto"/>
          </w:tcPr>
          <w:p>
            <w:r>
              <w:t xml:space="preserve">NUBAN</w:t>
            </w:r>
          </w:p>
        </w:tc>
        <w:tc>
          <w:tcPr>
            <w:tcW w:w="0" w:type="auto"/>
          </w:tcPr>
          <w:p>
            <w:r>
              <w:t xml:space="preserve">Nigerian Uniform Bank Account Number — recipient account format for naira payouts.</w:t>
            </w:r>
          </w:p>
        </w:tc>
      </w:tr>
      <w:tr>
        <w:tc>
          <w:tcPr>
            <w:tcW w:w="0" w:type="auto"/>
          </w:tcPr>
          <w:p>
            <w:r>
              <w:t xml:space="preserve">NDPA</w:t>
            </w:r>
          </w:p>
        </w:tc>
        <w:tc>
          <w:tcPr>
            <w:tcW w:w="0" w:type="auto"/>
          </w:tcPr>
          <w:p>
            <w:r>
              <w:t xml:space="preserve">Nigeria Data Protection Act — consent captured before identity and screening checks.</w:t>
            </w:r>
          </w:p>
        </w:tc>
      </w:tr>
    </w:tbl>
    <w:p/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1"/>
        <w:szCs w:val="21"/>
      </w:rPr>
    </w:rPrDefault>
  </w:docDefaults>
  <w:style w:type="paragraph" w:default="1" w:styleId="Normal">
    <w:name w:val="Normal"/>
    <w:pPr>
      <w:spacing w:after="140" w:line="276" w:lineRule="auto"/>
    </w:pPr>
  </w:style>
  <w:style w:type="paragraph" w:styleId="Title">
    <w:name w:val="Title"/>
    <w:basedOn w:val="Normal"/>
    <w:pPr>
      <w:spacing w:before="240" w:after="240"/>
    </w:pPr>
    <w:rPr>
      <w:b/>
      <w:color w:val="792E5B"/>
      <w:sz w:val="44"/>
    </w:rPr>
  </w:style>
  <w:style w:type="paragraph" w:styleId="Heading1">
    <w:name w:val="heading 1"/>
    <w:basedOn w:val="Normal"/>
    <w:pPr>
      <w:keepNext/>
      <w:spacing w:before="360" w:after="120"/>
      <w:outlineLvl w:val="0"/>
    </w:pPr>
    <w:rPr>
      <w:b/>
      <w:color w:val="8A2F57"/>
      <w:sz w:val="32"/>
    </w:rPr>
  </w:style>
  <w:style w:type="paragraph" w:styleId="Heading2">
    <w:name w:val="heading 2"/>
    <w:basedOn w:val="Normal"/>
    <w:pPr>
      <w:keepNext/>
      <w:spacing w:before="280" w:after="100"/>
      <w:outlineLvl w:val="1"/>
    </w:pPr>
    <w:rPr>
      <w:b/>
      <w:color w:val="A63A68"/>
      <w:sz w:val="26"/>
    </w:rPr>
  </w:style>
  <w:style w:type="paragraph" w:styleId="ListParagraph">
    <w:name w:val="List Paragraph"/>
    <w:basedOn w:val="Normal"/>
    <w:pPr>
      <w:ind w:left="420" w:hanging="240"/>
      <w:spacing w:after="60"/>
    </w:pPr>
  </w:style>
  <w:style w:type="paragraph" w:styleId="Quote">
    <w:name w:val="Quote"/>
    <w:basedOn w:val="Normal"/>
    <w:pPr>
      <w:ind w:left="480"/>
    </w:pPr>
    <w:rPr>
      <w:i/>
      <w:color w:val="555555"/>
    </w:rPr>
  </w:style>
  <w:style w:type="table" w:styleId="TableGrid">
    <w:name w:val="Table Grid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>
  <dc:title>Ngychom FX — User Manual</dc:title>
  <dc:creator>Generated from the app's HTML manual</dc:creator>
</cp:coreProperties>
</file>